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BDF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Calibri" w:eastAsia="黑体" w:cs="Times New Roman"/>
          <w:b w:val="0"/>
          <w:bCs/>
          <w:color w:val="auto"/>
          <w:sz w:val="36"/>
          <w:szCs w:val="36"/>
          <w:highlight w:val="none"/>
          <w:lang w:eastAsia="zh-CN"/>
        </w:rPr>
      </w:pPr>
      <w:r>
        <w:rPr>
          <w:rFonts w:hint="eastAsia" w:ascii="黑体" w:hAnsi="Calibri" w:eastAsia="黑体" w:cs="Times New Roman"/>
          <w:b w:val="0"/>
          <w:bCs/>
          <w:color w:val="auto"/>
          <w:sz w:val="36"/>
          <w:szCs w:val="36"/>
          <w:highlight w:val="none"/>
          <w:lang w:eastAsia="zh-CN"/>
        </w:rPr>
        <w:t>边坡支护加固（毛石挡墙）安全隐患整改项目</w:t>
      </w:r>
    </w:p>
    <w:p w14:paraId="60486D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Calibri" w:eastAsia="黑体" w:cs="Times New Roman"/>
          <w:b w:val="0"/>
          <w:bCs/>
          <w:color w:val="auto"/>
          <w:sz w:val="32"/>
          <w:szCs w:val="32"/>
          <w:highlight w:val="none"/>
          <w:lang w:eastAsia="zh-CN"/>
        </w:rPr>
      </w:pPr>
      <w:r>
        <w:rPr>
          <w:rFonts w:hint="eastAsia" w:ascii="黑体" w:hAnsi="Calibri" w:eastAsia="黑体" w:cs="Times New Roman"/>
          <w:b w:val="0"/>
          <w:bCs/>
          <w:color w:val="auto"/>
          <w:sz w:val="36"/>
          <w:szCs w:val="36"/>
          <w:highlight w:val="none"/>
          <w:lang w:eastAsia="zh-CN"/>
        </w:rPr>
        <w:t>监理服务（第二次）</w:t>
      </w:r>
      <w:r>
        <w:rPr>
          <w:rFonts w:hint="eastAsia" w:ascii="黑体" w:hAnsi="Calibri" w:eastAsia="黑体" w:cs="Times New Roman"/>
          <w:b w:val="0"/>
          <w:bCs/>
          <w:color w:val="auto"/>
          <w:sz w:val="36"/>
          <w:szCs w:val="36"/>
          <w:highlight w:val="none"/>
        </w:rPr>
        <w:t>采购需求</w:t>
      </w:r>
    </w:p>
    <w:p w14:paraId="03F63DCF">
      <w:pPr>
        <w:jc w:val="both"/>
        <w:rPr>
          <w:rFonts w:hint="eastAsia" w:eastAsia="宋体" w:cs="Times New Roman"/>
          <w:b/>
          <w:bCs/>
          <w:sz w:val="21"/>
          <w:szCs w:val="21"/>
          <w:lang w:eastAsia="zh-CN"/>
        </w:rPr>
      </w:pPr>
    </w:p>
    <w:p w14:paraId="3B4D5A7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lang w:eastAsia="zh-CN"/>
        </w:rPr>
      </w:pPr>
      <w:r>
        <w:rPr>
          <w:rFonts w:hint="eastAsia" w:ascii="宋体" w:hAnsi="宋体" w:eastAsia="宋体" w:cs="宋体"/>
          <w:b/>
          <w:bCs/>
          <w:sz w:val="28"/>
          <w:szCs w:val="28"/>
          <w:lang w:eastAsia="zh-CN"/>
        </w:rPr>
        <w:t>一</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项目名称</w:t>
      </w:r>
      <w:r>
        <w:rPr>
          <w:rFonts w:hint="eastAsia" w:ascii="宋体" w:hAnsi="宋体" w:eastAsia="宋体" w:cs="宋体"/>
          <w:b/>
          <w:bCs/>
          <w:color w:val="auto"/>
          <w:sz w:val="28"/>
          <w:szCs w:val="28"/>
          <w:lang w:eastAsia="zh-CN"/>
        </w:rPr>
        <w:t>：</w:t>
      </w:r>
      <w:r>
        <w:rPr>
          <w:rFonts w:hint="eastAsia" w:ascii="宋体" w:hAnsi="宋体" w:eastAsia="宋体" w:cs="宋体"/>
          <w:color w:val="auto"/>
          <w:sz w:val="28"/>
          <w:szCs w:val="28"/>
          <w:lang w:eastAsia="zh-CN"/>
        </w:rPr>
        <w:t>边坡支护加固（毛石挡墙）安全隐患整改项目监理服务（第二次）</w:t>
      </w:r>
    </w:p>
    <w:p w14:paraId="371F8B2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eastAsia="zh-CN"/>
        </w:rPr>
        <w:t>二、项目预算：</w:t>
      </w:r>
      <w:r>
        <w:rPr>
          <w:rFonts w:hint="eastAsia" w:ascii="宋体" w:hAnsi="宋体" w:eastAsia="宋体" w:cs="宋体"/>
          <w:color w:val="auto"/>
          <w:sz w:val="28"/>
          <w:szCs w:val="28"/>
          <w:lang w:val="en-US" w:eastAsia="zh-CN"/>
        </w:rPr>
        <w:t>7.03万元</w:t>
      </w:r>
      <w:bookmarkStart w:id="1" w:name="_GoBack"/>
      <w:bookmarkEnd w:id="1"/>
    </w:p>
    <w:p w14:paraId="008E598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三、项目概况</w:t>
      </w:r>
      <w:bookmarkStart w:id="0" w:name="OLE_LINK1"/>
      <w:bookmarkEnd w:id="0"/>
    </w:p>
    <w:p w14:paraId="6BC77A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医院老年科楼前边坡支护（毛石挡墙）修建于2006 年，边坡支护（毛石挡墙）为南北走向，东西侧为院内交通道路，该挡墙为重力式毛石砌筑挡墙，总长约 254.15 米，挡土高度0.2~5米；挡墙墙后东侧南段为平地车道，挡土高度约5米。经结构安全检测，边坡支护（毛石挡墙）存在挡土墙垂直度部分不满足要求，挡墙墙身有局部凸出现象，存在明显裂缝；滑移验算不满足要求；挡墙部分砂浆风化严重，其强度低于设计允许最低强度要求；墙体出现数条裂缝，部分墙体中存在空洞，墙后路面存在不同程度的凹陷，墙上栏杆多处变形损坏等问题，存在严重的安全隐患。本项目通过对边坡支护（毛石挡墙）进行加固和整改，按安全等级二级、结构重要性系数 1.0 进行加固，彻底排除区域安全隐患，改善医院就医环境及通行安全，整体提升医院形象，工期暂定为90天。</w:t>
      </w:r>
    </w:p>
    <w:p w14:paraId="554D4D3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四、项目范围、内容</w:t>
      </w:r>
    </w:p>
    <w:p w14:paraId="1C45481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1、项目范围：</w:t>
      </w:r>
      <w:r>
        <w:rPr>
          <w:rFonts w:hint="eastAsia" w:ascii="宋体" w:hAnsi="宋体" w:eastAsia="宋体" w:cs="宋体"/>
          <w:color w:val="auto"/>
          <w:sz w:val="28"/>
          <w:szCs w:val="28"/>
          <w:lang w:eastAsia="zh-CN"/>
        </w:rPr>
        <w:t>按</w:t>
      </w:r>
      <w:r>
        <w:rPr>
          <w:rFonts w:hint="eastAsia" w:ascii="宋体" w:hAnsi="宋体" w:eastAsia="宋体" w:cs="宋体"/>
          <w:color w:val="auto"/>
          <w:sz w:val="28"/>
          <w:szCs w:val="28"/>
          <w:lang w:val="en-US" w:eastAsia="zh-CN"/>
        </w:rPr>
        <w:t>采购人</w:t>
      </w:r>
      <w:r>
        <w:rPr>
          <w:rFonts w:hint="eastAsia" w:ascii="宋体" w:hAnsi="宋体" w:eastAsia="宋体" w:cs="宋体"/>
          <w:color w:val="auto"/>
          <w:sz w:val="28"/>
          <w:szCs w:val="28"/>
          <w:lang w:eastAsia="zh-CN"/>
        </w:rPr>
        <w:t>要求提供边坡支护加固（毛石挡墙）安全隐患整改项目工程施工准备期、施工期及</w:t>
      </w:r>
      <w:r>
        <w:rPr>
          <w:rFonts w:hint="eastAsia" w:ascii="宋体" w:hAnsi="宋体" w:eastAsia="宋体" w:cs="宋体"/>
          <w:color w:val="auto"/>
          <w:sz w:val="28"/>
          <w:szCs w:val="28"/>
          <w:lang w:val="en-US" w:eastAsia="zh-CN"/>
        </w:rPr>
        <w:t>质保期（含</w:t>
      </w:r>
      <w:r>
        <w:rPr>
          <w:rFonts w:hint="eastAsia" w:ascii="宋体" w:hAnsi="宋体" w:eastAsia="宋体" w:cs="宋体"/>
          <w:color w:val="auto"/>
          <w:sz w:val="28"/>
          <w:szCs w:val="28"/>
          <w:lang w:eastAsia="zh-CN"/>
        </w:rPr>
        <w:t>缺陷责任期</w:t>
      </w:r>
      <w:r>
        <w:rPr>
          <w:rFonts w:hint="eastAsia" w:ascii="宋体" w:hAnsi="宋体" w:eastAsia="宋体" w:cs="宋体"/>
          <w:color w:val="auto"/>
          <w:sz w:val="28"/>
          <w:szCs w:val="28"/>
          <w:lang w:val="en-US" w:eastAsia="zh-CN"/>
        </w:rPr>
        <w:t>）</w:t>
      </w:r>
      <w:r>
        <w:rPr>
          <w:rFonts w:hint="eastAsia" w:ascii="宋体" w:hAnsi="宋体" w:eastAsia="宋体" w:cs="宋体"/>
          <w:color w:val="auto"/>
          <w:sz w:val="28"/>
          <w:szCs w:val="28"/>
          <w:lang w:eastAsia="zh-CN"/>
        </w:rPr>
        <w:t>的全过程工程监理服务。</w:t>
      </w:r>
    </w:p>
    <w:p w14:paraId="5E61E99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内容</w:t>
      </w:r>
      <w:r>
        <w:rPr>
          <w:rFonts w:hint="eastAsia" w:ascii="宋体" w:hAnsi="宋体" w:eastAsia="宋体" w:cs="宋体"/>
          <w:color w:val="auto"/>
          <w:sz w:val="28"/>
          <w:szCs w:val="28"/>
          <w:lang w:val="en-US" w:eastAsia="zh-CN"/>
        </w:rPr>
        <w:t>:监理工作内容职责，包括按照“三控制、三管理、一协调” 的原则，“三控” 即工程进度控制、工程质量控制、工程投资（成本）控制，“三管” 即合同管理、职业健康安全与环境管理、信息管理，“一协调”指全面地组织协调（协调的范围分为内部的协调和外部的协调），确保项目在规定的时间内完成，并实现项目建设的目标。</w:t>
      </w:r>
    </w:p>
    <w:p w14:paraId="730FAA1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（1）收到工程设计文件后编制监理规划，并在第一次工地会议7天前报采购人，根据有关规定和监理工作需要，编制监理实施细则；</w:t>
      </w:r>
    </w:p>
    <w:p w14:paraId="37F96E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（2）熟悉工程设计文件，并参加由图纸会审和设计交底等相关项目会议；</w:t>
      </w:r>
    </w:p>
    <w:p w14:paraId="56C1A0F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（3）参加由采购人主持的工地会议；主持监理例会并根据工程需要主持或参加专题会议；</w:t>
      </w:r>
    </w:p>
    <w:p w14:paraId="5D386E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（4）审查施工承包人提交的施工组织设计，重点审查其中的质量安全技术措施、专项施工方案与工程建设强制性标准等的符合性；</w:t>
      </w:r>
    </w:p>
    <w:p w14:paraId="32F369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（5）检查施工承包人工程质量、安全生产管理制度及组织机构和人员资格；</w:t>
      </w:r>
    </w:p>
    <w:p w14:paraId="2DB35F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（6）检查施工承包人专职安全生产管理人员的配备情况；</w:t>
      </w:r>
    </w:p>
    <w:p w14:paraId="3BC3A5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（7）审查施工承包人提交的施工进度计划，核查承包人对施工进度计划的调整；</w:t>
      </w:r>
    </w:p>
    <w:p w14:paraId="0B0FDD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（8）审核施工承包人资质条件；</w:t>
      </w:r>
    </w:p>
    <w:p w14:paraId="2FF3F9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（9）查验施工承包人的施工测量放线成果；</w:t>
      </w:r>
    </w:p>
    <w:p w14:paraId="1160BD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（10）审查工程开工条件，对条件具备的签发开工令；</w:t>
      </w:r>
    </w:p>
    <w:p w14:paraId="7889B9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（11）审查施工承包人报送的工程材料、构配件、设备质量证明文件的有效性和符合性，并按规定对用于工程的材料采取平行检验或见证取样方式进行抽检；</w:t>
      </w:r>
    </w:p>
    <w:p w14:paraId="76ED01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（12）审核施工承包人提交的工程款支付申请，签发或出具工程款支付证书，并报采购人审核、批准;</w:t>
      </w:r>
    </w:p>
    <w:p w14:paraId="438BAC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（13）在巡视、旁站和检验过程中，发现工程质量、施工安全存在事故隐患的，要求施工承包人整改并报采购人；</w:t>
      </w:r>
    </w:p>
    <w:p w14:paraId="6BCF40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（14）经采购人同意，签发工程暂停令和复工令；</w:t>
      </w:r>
    </w:p>
    <w:p w14:paraId="4C0A1E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（15）审查施工承包人提交的采用新材料、新工艺、新技术、新设备的论证材料及相关验收标准；</w:t>
      </w:r>
    </w:p>
    <w:p w14:paraId="147689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（16）验收隐蔽工程、分部分项工程；</w:t>
      </w:r>
    </w:p>
    <w:p w14:paraId="0CFC2F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（17）审查施工承包人提交的工程变更申请，协调处理施工进度调整、费用索赔、合同争议等事项；</w:t>
      </w:r>
    </w:p>
    <w:p w14:paraId="234968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（18）审查施工承包人提交的竣工验收申请，编写工程质量评估报告；</w:t>
      </w:r>
    </w:p>
    <w:p w14:paraId="584DC68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（19）参加工程竣工验收，签署竣工验收意见；</w:t>
      </w:r>
    </w:p>
    <w:p w14:paraId="222FCA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（20）审查施工承包人提交的竣工结算申请并报采购人；</w:t>
      </w:r>
    </w:p>
    <w:p w14:paraId="4764D8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（21）编制、整理工程监理归档文件并报采购人。</w:t>
      </w:r>
    </w:p>
    <w:p w14:paraId="7C85F1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（22）对施工承包人的关键岗位人员的到位情况及出勤情况进行核查。</w:t>
      </w:r>
    </w:p>
    <w:p w14:paraId="7883C8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（23）配合采购人做好监测、检测等相关咨询服务类前期采购所需要的实施方案。</w:t>
      </w:r>
    </w:p>
    <w:p w14:paraId="480825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（24）根据采购人要求做好监理服务范围内其他工作。</w:t>
      </w:r>
    </w:p>
    <w:p w14:paraId="0ACFDA1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五、人员要求</w:t>
      </w:r>
    </w:p>
    <w:p w14:paraId="1A40436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1、项目总监：配备1人，总监理工程师须取得建筑类注册监理工程师证，对项目重大决策提出建议和意见。（要求人员提供证件资质材料及无在建工程承诺书，加盖公章）</w:t>
      </w:r>
    </w:p>
    <w:p w14:paraId="271D2C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2、项目监理要求以驻场监理为主要方式进行，并根据具体工程施工进度需要，配备至少1名专业监理工程师现场全过程监督，监理人员须执证上岗。（提供人员证件资质材料及无在建工程承诺书，加盖公章）</w:t>
      </w:r>
    </w:p>
    <w:p w14:paraId="586037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3、本项目须办理施工许可证等手续，监理单位和人员应做好配合工作，并接受质安监部门的指导和监督。</w:t>
      </w:r>
    </w:p>
    <w:p w14:paraId="081EB50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六、服务期限：</w:t>
      </w:r>
      <w:r>
        <w:rPr>
          <w:rFonts w:hint="eastAsia" w:ascii="宋体" w:hAnsi="宋体" w:eastAsia="宋体" w:cs="宋体"/>
          <w:color w:val="auto"/>
          <w:sz w:val="28"/>
          <w:szCs w:val="28"/>
          <w:lang w:val="en-US" w:eastAsia="zh-CN"/>
        </w:rPr>
        <w:t>合同签订之日起，监理服务范围内所有工程通过竣工验收、竣工结算完成、工程质保期（含缺陷责任期）结束之日止。</w:t>
      </w:r>
    </w:p>
    <w:p w14:paraId="7C624AF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七、服务地点：</w:t>
      </w:r>
      <w:r>
        <w:rPr>
          <w:rFonts w:hint="eastAsia" w:ascii="宋体" w:hAnsi="宋体" w:eastAsia="宋体" w:cs="宋体"/>
          <w:color w:val="auto"/>
          <w:sz w:val="28"/>
          <w:szCs w:val="28"/>
          <w:lang w:val="en-US" w:eastAsia="zh-CN"/>
        </w:rPr>
        <w:t>长沙市雨花区曙光南路769号。</w:t>
      </w:r>
    </w:p>
    <w:p w14:paraId="7970175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八、标准与要求</w:t>
      </w:r>
    </w:p>
    <w:p w14:paraId="2492AA6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1、工程主要技术标准：国家、各部委（总局）、湖南省和长沙市颁发的现行有关工程标准、规范、规程、规定等，前述标准不一致者，以较高的为准。</w:t>
      </w:r>
    </w:p>
    <w:p w14:paraId="4E8B396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2、服务要求：监理服务应符合国家现行的法律、行政法规、部门规章、行业规范、工程所在地的地方性法规、地方政府规章。</w:t>
      </w:r>
    </w:p>
    <w:p w14:paraId="55C9DF4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九、付款</w:t>
      </w:r>
    </w:p>
    <w:p w14:paraId="0D9861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1、本项目无预付款；</w:t>
      </w:r>
      <w:r>
        <w:rPr>
          <w:rFonts w:hint="eastAsia" w:ascii="宋体" w:hAnsi="宋体" w:eastAsia="宋体" w:cs="宋体"/>
          <w:color w:val="auto"/>
          <w:sz w:val="28"/>
          <w:szCs w:val="28"/>
          <w:lang w:eastAsia="zh-CN"/>
        </w:rPr>
        <w:t>边坡支护加固（毛石挡墙）安全隐患整改项目</w:t>
      </w:r>
      <w:r>
        <w:rPr>
          <w:rFonts w:hint="eastAsia" w:ascii="宋体" w:hAnsi="宋体" w:eastAsia="宋体" w:cs="宋体"/>
          <w:color w:val="auto"/>
          <w:sz w:val="28"/>
          <w:szCs w:val="28"/>
          <w:lang w:val="en-US" w:eastAsia="zh-CN"/>
        </w:rPr>
        <w:t>竣工验收合格后支付至合同价款的70%；提交采购人要求的监理资料并督促配合</w:t>
      </w:r>
      <w:r>
        <w:rPr>
          <w:rFonts w:hint="eastAsia" w:ascii="宋体" w:hAnsi="宋体" w:eastAsia="宋体" w:cs="宋体"/>
          <w:color w:val="auto"/>
          <w:sz w:val="28"/>
          <w:szCs w:val="28"/>
          <w:lang w:eastAsia="zh-CN"/>
        </w:rPr>
        <w:t>边坡支护加固（毛石挡墙）安全隐患整改项目</w:t>
      </w:r>
      <w:r>
        <w:rPr>
          <w:rFonts w:hint="eastAsia" w:ascii="宋体" w:hAnsi="宋体" w:eastAsia="宋体" w:cs="宋体"/>
          <w:color w:val="auto"/>
          <w:sz w:val="28"/>
          <w:szCs w:val="28"/>
          <w:lang w:val="en-US" w:eastAsia="zh-CN"/>
        </w:rPr>
        <w:t>完成报送市财政评审中心项目竣工结算送审后一次性支付合同价款剩余的30%。</w:t>
      </w:r>
    </w:p>
    <w:p w14:paraId="0191DC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每次请款前须向采购人提供符合采购人要求付款申请报告、等额的增值税发票以及其他支付凭证文件。若监理人未如实或完整提交上述付款资料，采购人有权顺延付款，顺延期间不构成违约且不计息，期间不终止或中断监理人在本合同项下的义务。</w:t>
      </w:r>
    </w:p>
    <w:p w14:paraId="37DEDCC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3、具体资金支付根据采购人资金情况安排，监理人不得据此视为采购人违约。</w:t>
      </w:r>
    </w:p>
    <w:p w14:paraId="5342FB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4、本项目如无特殊情况，监理服务费结算金额不得超过合同金额。</w:t>
      </w:r>
    </w:p>
    <w:p w14:paraId="54501834">
      <w:pPr>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十、保密承诺</w:t>
      </w:r>
    </w:p>
    <w:p w14:paraId="2B312996">
      <w:pPr>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监理人承诺在履行本合同中接触到的采购人的保密信息和资料，无论其表现形式如何，在本合同的有效期间和本合同解除或终止之后，监理人不以任何方式向任何第三方泄露，否则由监理人承担一切责任且赔偿由此给采购人造成的损失。</w:t>
      </w:r>
    </w:p>
    <w:p w14:paraId="3E227015">
      <w:pPr>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十一、违约责任</w:t>
      </w:r>
    </w:p>
    <w:p w14:paraId="3D193E67">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监理人未按时履行监理工作内容的，每逾期一日，应向采购人支付结算总价</w:t>
      </w:r>
      <w:r>
        <w:rPr>
          <w:rFonts w:hint="eastAsia" w:ascii="宋体" w:hAnsi="宋体" w:eastAsia="宋体" w:cs="宋体"/>
          <w:color w:val="auto"/>
          <w:sz w:val="28"/>
          <w:szCs w:val="28"/>
          <w:lang w:val="en-US" w:eastAsia="zh-CN"/>
        </w:rPr>
        <w:t>0.4‰的</w:t>
      </w:r>
      <w:r>
        <w:rPr>
          <w:rFonts w:hint="eastAsia" w:ascii="宋体" w:hAnsi="宋体" w:eastAsia="宋体" w:cs="宋体"/>
          <w:color w:val="auto"/>
          <w:sz w:val="28"/>
          <w:szCs w:val="28"/>
          <w:lang w:eastAsia="zh-CN"/>
        </w:rPr>
        <w:t>违约金，</w:t>
      </w:r>
      <w:r>
        <w:rPr>
          <w:rFonts w:hint="eastAsia" w:ascii="宋体" w:hAnsi="宋体" w:eastAsia="宋体" w:cs="宋体"/>
          <w:color w:val="auto"/>
          <w:sz w:val="28"/>
          <w:szCs w:val="28"/>
        </w:rPr>
        <w:t>造成损失的应予以相应赔偿。</w:t>
      </w:r>
    </w:p>
    <w:p w14:paraId="121F5054">
      <w:pPr>
        <w:pStyle w:val="2"/>
        <w:ind w:left="0" w:leftChars="0"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eastAsia="zh-CN"/>
        </w:rPr>
        <w:t>监理人</w:t>
      </w:r>
      <w:r>
        <w:rPr>
          <w:rFonts w:hint="eastAsia" w:ascii="宋体" w:hAnsi="宋体" w:cs="宋体"/>
          <w:color w:val="auto"/>
          <w:sz w:val="28"/>
          <w:szCs w:val="28"/>
          <w:lang w:eastAsia="zh-CN"/>
        </w:rPr>
        <w:t>失职失当</w:t>
      </w:r>
      <w:r>
        <w:rPr>
          <w:rFonts w:hint="eastAsia" w:ascii="宋体" w:hAnsi="宋体" w:eastAsia="宋体" w:cs="宋体"/>
          <w:color w:val="auto"/>
          <w:sz w:val="28"/>
          <w:szCs w:val="28"/>
          <w:lang w:eastAsia="zh-CN"/>
        </w:rPr>
        <w:t>或未按甲方要求履行监理</w:t>
      </w:r>
      <w:r>
        <w:rPr>
          <w:rFonts w:hint="eastAsia" w:ascii="宋体" w:hAnsi="宋体" w:cs="宋体"/>
          <w:color w:val="auto"/>
          <w:sz w:val="28"/>
          <w:szCs w:val="28"/>
          <w:lang w:eastAsia="zh-CN"/>
        </w:rPr>
        <w:t>责任的，每次应向</w:t>
      </w:r>
      <w:r>
        <w:rPr>
          <w:rFonts w:hint="eastAsia" w:ascii="宋体" w:hAnsi="宋体" w:eastAsia="宋体" w:cs="宋体"/>
          <w:color w:val="auto"/>
          <w:sz w:val="28"/>
          <w:szCs w:val="28"/>
          <w:lang w:eastAsia="zh-CN"/>
        </w:rPr>
        <w:t>采购人支付</w:t>
      </w:r>
      <w:r>
        <w:rPr>
          <w:rFonts w:hint="eastAsia" w:ascii="宋体" w:hAnsi="宋体" w:cs="宋体"/>
          <w:color w:val="auto"/>
          <w:sz w:val="28"/>
          <w:szCs w:val="28"/>
          <w:lang w:val="en-US" w:eastAsia="zh-CN"/>
        </w:rPr>
        <w:t>5000元</w:t>
      </w:r>
      <w:r>
        <w:rPr>
          <w:rFonts w:hint="eastAsia" w:ascii="宋体" w:hAnsi="宋体" w:eastAsia="宋体" w:cs="宋体"/>
          <w:color w:val="auto"/>
          <w:sz w:val="28"/>
          <w:szCs w:val="28"/>
          <w:lang w:val="en-US" w:eastAsia="zh-CN"/>
        </w:rPr>
        <w:t>的</w:t>
      </w:r>
      <w:r>
        <w:rPr>
          <w:rFonts w:hint="eastAsia" w:ascii="宋体" w:hAnsi="宋体" w:eastAsia="宋体" w:cs="宋体"/>
          <w:color w:val="auto"/>
          <w:sz w:val="28"/>
          <w:szCs w:val="28"/>
          <w:lang w:eastAsia="zh-CN"/>
        </w:rPr>
        <w:t>违约金，</w:t>
      </w:r>
      <w:r>
        <w:rPr>
          <w:rFonts w:hint="eastAsia" w:ascii="宋体" w:hAnsi="宋体" w:eastAsia="宋体" w:cs="宋体"/>
          <w:color w:val="auto"/>
          <w:sz w:val="28"/>
          <w:szCs w:val="28"/>
        </w:rPr>
        <w:t>造成损失的应予以相应赔偿</w:t>
      </w:r>
      <w:r>
        <w:rPr>
          <w:rFonts w:hint="eastAsia" w:ascii="宋体" w:hAnsi="宋体" w:cs="宋体"/>
          <w:color w:val="auto"/>
          <w:sz w:val="28"/>
          <w:szCs w:val="28"/>
          <w:lang w:eastAsia="zh-CN"/>
        </w:rPr>
        <w:t>，超过</w:t>
      </w:r>
      <w:r>
        <w:rPr>
          <w:rFonts w:hint="eastAsia" w:ascii="宋体" w:hAnsi="宋体" w:cs="宋体"/>
          <w:color w:val="auto"/>
          <w:sz w:val="28"/>
          <w:szCs w:val="28"/>
          <w:lang w:val="en-US" w:eastAsia="zh-CN"/>
        </w:rPr>
        <w:t>2次的，采购人有权解除合同。</w:t>
      </w:r>
    </w:p>
    <w:p w14:paraId="7B05B70B">
      <w:pPr>
        <w:pStyle w:val="2"/>
        <w:ind w:left="0" w:leftChars="0" w:firstLine="560" w:firstLineChars="200"/>
        <w:rPr>
          <w:rFonts w:hint="eastAsia" w:ascii="宋体" w:hAnsi="宋体" w:eastAsia="宋体" w:cs="宋体"/>
          <w:color w:val="auto"/>
          <w:sz w:val="28"/>
          <w:szCs w:val="28"/>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、如果</w:t>
      </w:r>
      <w:r>
        <w:rPr>
          <w:rFonts w:hint="eastAsia" w:ascii="宋体" w:hAnsi="宋体" w:eastAsia="宋体" w:cs="宋体"/>
          <w:color w:val="auto"/>
          <w:sz w:val="28"/>
          <w:szCs w:val="28"/>
          <w:lang w:eastAsia="zh-CN"/>
        </w:rPr>
        <w:t>监理人</w:t>
      </w:r>
      <w:r>
        <w:rPr>
          <w:rFonts w:hint="eastAsia" w:ascii="宋体" w:hAnsi="宋体" w:eastAsia="宋体" w:cs="宋体"/>
          <w:color w:val="auto"/>
          <w:sz w:val="28"/>
          <w:szCs w:val="28"/>
        </w:rPr>
        <w:t>有下列行为，</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可书面通知对方解除合同</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并不影响其采取其它补救措施：</w:t>
      </w:r>
    </w:p>
    <w:p w14:paraId="78067A0D">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a．没有履行合同规定的保密义务；</w:t>
      </w:r>
    </w:p>
    <w:p w14:paraId="67221BCA">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b．没有履行合同规定的其它义务，并在收到</w:t>
      </w:r>
      <w:r>
        <w:rPr>
          <w:rFonts w:hint="eastAsia" w:ascii="宋体" w:hAnsi="宋体" w:eastAsia="宋体" w:cs="宋体"/>
          <w:color w:val="auto"/>
          <w:sz w:val="28"/>
          <w:szCs w:val="28"/>
          <w:lang w:eastAsia="zh-CN"/>
        </w:rPr>
        <w:t>采购人</w:t>
      </w:r>
      <w:r>
        <w:rPr>
          <w:rFonts w:hint="eastAsia" w:ascii="宋体" w:hAnsi="宋体" w:eastAsia="宋体" w:cs="宋体"/>
          <w:color w:val="auto"/>
          <w:sz w:val="28"/>
          <w:szCs w:val="28"/>
        </w:rPr>
        <w:t>书面的通知后 7 天内对其违约不予以弥补；</w:t>
      </w:r>
    </w:p>
    <w:p w14:paraId="7832670B">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c．破产或无力偿还债务；</w:t>
      </w:r>
    </w:p>
    <w:p w14:paraId="6507D2BD">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d．受不可抗力事件影响。</w:t>
      </w:r>
    </w:p>
    <w:p w14:paraId="176AE105">
      <w:pPr>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、合同内容履行完毕并结清费用后合同解除。</w:t>
      </w:r>
    </w:p>
    <w:p w14:paraId="3E3AFCAA">
      <w:pPr>
        <w:keepNext w:val="0"/>
        <w:keepLines w:val="0"/>
        <w:pageBreakBefore w:val="0"/>
        <w:widowControl/>
        <w:kinsoku/>
        <w:wordWrap/>
        <w:overflowPunct/>
        <w:topLinePunct w:val="0"/>
        <w:autoSpaceDE/>
        <w:autoSpaceDN/>
        <w:bidi w:val="0"/>
        <w:adjustRightIn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5、监理人违反合同约定的，除承担相应的违约责任和损失赔偿责任外还应承担采购人因此产生的一切合理支出，包括但不限于律师费、差旅费、诉讼费等。</w:t>
      </w:r>
    </w:p>
    <w:p w14:paraId="1134AF1F">
      <w:pPr>
        <w:ind w:firstLine="562" w:firstLineChars="200"/>
        <w:rPr>
          <w:rFonts w:hint="eastAsia" w:ascii="宋体" w:hAnsi="宋体" w:eastAsia="宋体" w:cs="宋体"/>
          <w:b/>
          <w:bCs/>
          <w:color w:val="auto"/>
          <w:sz w:val="24"/>
          <w:szCs w:val="24"/>
        </w:rPr>
      </w:pPr>
      <w:r>
        <w:rPr>
          <w:rFonts w:hint="eastAsia" w:ascii="宋体" w:hAnsi="宋体" w:eastAsia="宋体" w:cs="宋体"/>
          <w:b/>
          <w:bCs/>
          <w:color w:val="auto"/>
          <w:sz w:val="28"/>
          <w:szCs w:val="28"/>
          <w:lang w:val="en-US" w:eastAsia="zh-CN"/>
        </w:rPr>
        <w:t>十二、</w:t>
      </w:r>
      <w:r>
        <w:rPr>
          <w:rFonts w:hint="eastAsia" w:ascii="宋体" w:hAnsi="宋体" w:eastAsia="宋体" w:cs="宋体"/>
          <w:b/>
          <w:bCs/>
          <w:color w:val="auto"/>
          <w:sz w:val="24"/>
          <w:szCs w:val="24"/>
        </w:rPr>
        <w:t>争议解决</w:t>
      </w:r>
    </w:p>
    <w:p w14:paraId="197ABA08">
      <w:pPr>
        <w:keepNext w:val="0"/>
        <w:keepLines w:val="0"/>
        <w:pageBreakBefore w:val="0"/>
        <w:widowControl/>
        <w:kinsoku/>
        <w:wordWrap/>
        <w:overflowPunct/>
        <w:topLinePunct w:val="0"/>
        <w:autoSpaceDE/>
        <w:autoSpaceDN/>
        <w:bidi w:val="0"/>
        <w:adjustRightInd/>
        <w:spacing w:line="24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在合同履行过程中或因合同的履行发生争议的，甲乙双方应首先友好协商解决；协商不成，双方均可向采购人所在地人民法院提起诉讼。</w:t>
      </w:r>
    </w:p>
    <w:p w14:paraId="41CE20A7">
      <w:pPr>
        <w:keepNext w:val="0"/>
        <w:keepLines w:val="0"/>
        <w:pageBreakBefore w:val="0"/>
        <w:widowControl w:val="0"/>
        <w:kinsoku/>
        <w:wordWrap/>
        <w:overflowPunct/>
        <w:topLinePunct w:val="0"/>
        <w:autoSpaceDE/>
        <w:autoSpaceDN/>
        <w:bidi w:val="0"/>
        <w:adjustRightInd/>
        <w:spacing w:line="360" w:lineRule="auto"/>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十三、</w:t>
      </w:r>
      <w:r>
        <w:rPr>
          <w:rFonts w:hint="eastAsia" w:ascii="宋体" w:hAnsi="宋体" w:eastAsia="宋体" w:cs="宋体"/>
          <w:b/>
          <w:bCs/>
          <w:color w:val="auto"/>
          <w:sz w:val="28"/>
          <w:szCs w:val="28"/>
          <w:highlight w:val="none"/>
          <w:lang w:val="en-US" w:eastAsia="zh-CN"/>
        </w:rPr>
        <w:t>因本项目为边坡安全隐患整改项目，安全责任重大，监理服务要求高，为保证投标方对项目情况的真实准确有效地掌握，投标方需提前进行现场查勘，查勘期间</w:t>
      </w:r>
      <w:r>
        <w:rPr>
          <w:rFonts w:hint="eastAsia" w:ascii="宋体" w:hAnsi="宋体" w:eastAsia="宋体" w:cs="宋体"/>
          <w:b/>
          <w:bCs/>
          <w:color w:val="auto"/>
          <w:sz w:val="28"/>
          <w:szCs w:val="28"/>
          <w:highlight w:val="none"/>
          <w:lang w:eastAsia="zh-CN"/>
        </w:rPr>
        <w:t>有关费用自理，查勘期间发生的意外自负。（工作日上班时间查勘联系人：廖士凯</w:t>
      </w:r>
      <w:r>
        <w:rPr>
          <w:rFonts w:hint="eastAsia" w:ascii="宋体" w:hAnsi="宋体" w:eastAsia="宋体" w:cs="宋体"/>
          <w:b/>
          <w:bCs/>
          <w:color w:val="auto"/>
          <w:sz w:val="28"/>
          <w:szCs w:val="28"/>
          <w:highlight w:val="none"/>
          <w:lang w:val="en-US" w:eastAsia="zh-CN"/>
        </w:rPr>
        <w:t>13607497170</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lang w:val="en-US" w:eastAsia="zh-CN"/>
        </w:rPr>
        <w:t xml:space="preserve">  </w:t>
      </w:r>
    </w:p>
    <w:p w14:paraId="6E90C30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color w:val="auto"/>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、投标文件有关内容，必须对本章提出的所有要求进行具体的响应和承诺。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OGE1NDUyZGFhNzkzZjY1YzMwZWQxYTMwZmZhMzQifQ=="/>
  </w:docVars>
  <w:rsids>
    <w:rsidRoot w:val="44BC2D40"/>
    <w:rsid w:val="012D7B8A"/>
    <w:rsid w:val="01E65C2D"/>
    <w:rsid w:val="01FB27A1"/>
    <w:rsid w:val="026C430E"/>
    <w:rsid w:val="08161CBE"/>
    <w:rsid w:val="082D08DF"/>
    <w:rsid w:val="089C327F"/>
    <w:rsid w:val="090B1CBE"/>
    <w:rsid w:val="09216B15"/>
    <w:rsid w:val="0D9F44AC"/>
    <w:rsid w:val="10703EDE"/>
    <w:rsid w:val="12E110C3"/>
    <w:rsid w:val="136A64FD"/>
    <w:rsid w:val="13BE4ED6"/>
    <w:rsid w:val="155B7781"/>
    <w:rsid w:val="16B849F9"/>
    <w:rsid w:val="16BD6231"/>
    <w:rsid w:val="17002AE4"/>
    <w:rsid w:val="19AE61A3"/>
    <w:rsid w:val="209459C7"/>
    <w:rsid w:val="210944F0"/>
    <w:rsid w:val="254D7B4C"/>
    <w:rsid w:val="28196DE3"/>
    <w:rsid w:val="28765E08"/>
    <w:rsid w:val="2B774C09"/>
    <w:rsid w:val="2C4368D7"/>
    <w:rsid w:val="2C700C92"/>
    <w:rsid w:val="2E0D4DEF"/>
    <w:rsid w:val="2E5126C4"/>
    <w:rsid w:val="36575075"/>
    <w:rsid w:val="37BB7471"/>
    <w:rsid w:val="3BBF3CCF"/>
    <w:rsid w:val="3D2409C1"/>
    <w:rsid w:val="3E4D2BC0"/>
    <w:rsid w:val="41400D1F"/>
    <w:rsid w:val="42576B28"/>
    <w:rsid w:val="4427549B"/>
    <w:rsid w:val="445D6F76"/>
    <w:rsid w:val="44BC2D40"/>
    <w:rsid w:val="4B996669"/>
    <w:rsid w:val="4E9129F6"/>
    <w:rsid w:val="50630ABF"/>
    <w:rsid w:val="52CA0C50"/>
    <w:rsid w:val="53513120"/>
    <w:rsid w:val="53D77AC9"/>
    <w:rsid w:val="5563538C"/>
    <w:rsid w:val="564B5BF5"/>
    <w:rsid w:val="575651A9"/>
    <w:rsid w:val="576D107C"/>
    <w:rsid w:val="57E62326"/>
    <w:rsid w:val="58D75E75"/>
    <w:rsid w:val="59A71CEC"/>
    <w:rsid w:val="5AAE6DC3"/>
    <w:rsid w:val="612855F5"/>
    <w:rsid w:val="621A4DB8"/>
    <w:rsid w:val="6347265C"/>
    <w:rsid w:val="64295A93"/>
    <w:rsid w:val="68D20407"/>
    <w:rsid w:val="698931BC"/>
    <w:rsid w:val="6A9040D6"/>
    <w:rsid w:val="6F3E2352"/>
    <w:rsid w:val="70C04FE9"/>
    <w:rsid w:val="70E01995"/>
    <w:rsid w:val="72993DD0"/>
    <w:rsid w:val="72C62D8B"/>
    <w:rsid w:val="72ED47BB"/>
    <w:rsid w:val="73A721D9"/>
    <w:rsid w:val="73DF1EAD"/>
    <w:rsid w:val="750639B5"/>
    <w:rsid w:val="784C2381"/>
    <w:rsid w:val="79E47F9A"/>
    <w:rsid w:val="7BEB5610"/>
    <w:rsid w:val="7D7F0706"/>
    <w:rsid w:val="7E3A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widowControl w:val="0"/>
      <w:autoSpaceDE w:val="0"/>
      <w:autoSpaceDN w:val="0"/>
      <w:spacing w:before="0" w:after="120" w:line="240" w:lineRule="auto"/>
      <w:ind w:left="420" w:firstLine="420"/>
    </w:pPr>
    <w:rPr>
      <w:rFonts w:ascii="Calibri" w:eastAsia="宋体"/>
      <w:sz w:val="20"/>
    </w:rPr>
  </w:style>
  <w:style w:type="paragraph" w:styleId="3">
    <w:name w:val="Body Text Indent"/>
    <w:basedOn w:val="1"/>
    <w:next w:val="1"/>
    <w:qFormat/>
    <w:uiPriority w:val="0"/>
    <w:pPr>
      <w:spacing w:after="120"/>
      <w:ind w:left="420" w:leftChars="200"/>
    </w:pPr>
  </w:style>
  <w:style w:type="paragraph" w:styleId="4">
    <w:name w:val="Normal Indent"/>
    <w:basedOn w:val="1"/>
    <w:qFormat/>
    <w:uiPriority w:val="0"/>
    <w:pPr>
      <w:widowControl/>
      <w:ind w:firstLine="420"/>
      <w:jc w:val="left"/>
    </w:pPr>
    <w:rPr>
      <w:kern w:val="0"/>
      <w:sz w:val="20"/>
      <w:szCs w:val="20"/>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2858</Words>
  <Characters>2912</Characters>
  <Lines>0</Lines>
  <Paragraphs>0</Paragraphs>
  <TotalTime>7</TotalTime>
  <ScaleCrop>false</ScaleCrop>
  <LinksUpToDate>false</LinksUpToDate>
  <CharactersWithSpaces>2924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2024-09-11T01:41:00Z</dcterms:created>
  <dc:creator>廖士凯</dc:creator>
  <cp:lastModifiedBy>刘文</cp:lastModifiedBy>
  <cp:lastPrinted>2025-06-30T11:10:00Z</cp:lastPrinted>
  <dcterms:modified xsi:type="dcterms:W3CDTF">2025-09-02T15:22:26Z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A4D5C66544D8452A8B6B03182A715ACD_13</vt:lpwstr>
  </property>
  <property fmtid="{D5CDD505-2E9C-101B-9397-08002B2CF9AE}" pid="4" name="KSOTemplateDocerSaveRecord">
    <vt:lpwstr>eyJoZGlkIjoiNmNlYTI1YzRlYTM0NGU3M2ViNmI1YmQ1ZTJlY2E4ZDgiLCJ1c2VySWQiOiI0Njg2MDI2ODUifQ==</vt:lpwstr>
  </property>
</Properties>
</file>